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5A" w:rsidRDefault="00214D45">
      <w:pPr>
        <w:rPr>
          <w:color w:val="363534"/>
          <w:sz w:val="18"/>
          <w:szCs w:val="18"/>
          <w:shd w:val="clear" w:color="auto" w:fill="FFFFFF"/>
        </w:rPr>
      </w:pPr>
      <w:r>
        <w:rPr>
          <w:rFonts w:ascii="Times New Roman" w:hAnsi="Times New Roman"/>
          <w:noProof/>
          <w:lang w:eastAsia="en-GB"/>
        </w:rPr>
        <w:drawing>
          <wp:anchor distT="0" distB="0" distL="114300" distR="114300" simplePos="0" relativeHeight="251658240" behindDoc="1" locked="0" layoutInCell="1" allowOverlap="1">
            <wp:simplePos x="0" y="0"/>
            <wp:positionH relativeFrom="column">
              <wp:posOffset>4006215</wp:posOffset>
            </wp:positionH>
            <wp:positionV relativeFrom="paragraph">
              <wp:posOffset>-125730</wp:posOffset>
            </wp:positionV>
            <wp:extent cx="2868930" cy="1920240"/>
            <wp:effectExtent l="0" t="0" r="7620" b="3810"/>
            <wp:wrapNone/>
            <wp:docPr id="2" name="Picture 2" descr="New Imag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ogo 2014"/>
                    <pic:cNvPicPr>
                      <a:picLocks noChangeAspect="1" noChangeArrowheads="1"/>
                    </pic:cNvPicPr>
                  </pic:nvPicPr>
                  <pic:blipFill>
                    <a:blip r:embed="rId6" cstate="print">
                      <a:extLst>
                        <a:ext uri="{28A0092B-C50C-407E-A947-70E740481C1C}">
                          <a14:useLocalDpi xmlns:a14="http://schemas.microsoft.com/office/drawing/2010/main" val="0"/>
                        </a:ext>
                      </a:extLst>
                    </a:blip>
                    <a:srcRect t="4890"/>
                    <a:stretch>
                      <a:fillRect/>
                    </a:stretch>
                  </pic:blipFill>
                  <pic:spPr bwMode="auto">
                    <a:xfrm>
                      <a:off x="0" y="0"/>
                      <a:ext cx="286893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65A" w:rsidRDefault="005D565A">
      <w:pPr>
        <w:rPr>
          <w:color w:val="363534"/>
          <w:sz w:val="18"/>
          <w:szCs w:val="18"/>
          <w:shd w:val="clear" w:color="auto" w:fill="FFFFFF"/>
        </w:rPr>
      </w:pPr>
    </w:p>
    <w:p w:rsidR="005D565A" w:rsidRDefault="005D565A">
      <w:pPr>
        <w:rPr>
          <w:color w:val="363534"/>
          <w:sz w:val="18"/>
          <w:szCs w:val="18"/>
          <w:shd w:val="clear" w:color="auto" w:fill="FFFFFF"/>
        </w:rPr>
      </w:pPr>
    </w:p>
    <w:p w:rsidR="00214D45" w:rsidRDefault="00214D45" w:rsidP="005D565A">
      <w:pPr>
        <w:spacing w:after="0"/>
        <w:jc w:val="center"/>
        <w:rPr>
          <w:rFonts w:eastAsia="Times New Roman"/>
          <w:b/>
        </w:rPr>
      </w:pPr>
    </w:p>
    <w:p w:rsidR="00214D45" w:rsidRDefault="00214D45" w:rsidP="005D565A">
      <w:pPr>
        <w:spacing w:after="0"/>
        <w:jc w:val="center"/>
        <w:rPr>
          <w:rFonts w:eastAsia="Times New Roman"/>
          <w:b/>
        </w:rPr>
      </w:pPr>
    </w:p>
    <w:p w:rsidR="00214D45" w:rsidRDefault="00214D45" w:rsidP="005D565A">
      <w:pPr>
        <w:spacing w:after="0"/>
        <w:jc w:val="center"/>
        <w:rPr>
          <w:rFonts w:eastAsia="Times New Roman"/>
          <w:b/>
        </w:rPr>
      </w:pPr>
    </w:p>
    <w:p w:rsidR="00214D45" w:rsidRDefault="00214D45" w:rsidP="005D565A">
      <w:pPr>
        <w:spacing w:after="0"/>
        <w:jc w:val="center"/>
        <w:rPr>
          <w:rFonts w:eastAsia="Times New Roman"/>
          <w:b/>
        </w:rPr>
      </w:pPr>
    </w:p>
    <w:p w:rsidR="00214D45" w:rsidRDefault="00214D45" w:rsidP="005D565A">
      <w:pPr>
        <w:spacing w:after="0"/>
        <w:jc w:val="center"/>
        <w:rPr>
          <w:rFonts w:eastAsia="Times New Roman"/>
          <w:b/>
        </w:rPr>
      </w:pPr>
    </w:p>
    <w:p w:rsidR="00214D45" w:rsidRDefault="00214D45" w:rsidP="005D565A">
      <w:pPr>
        <w:spacing w:after="0"/>
        <w:jc w:val="center"/>
        <w:rPr>
          <w:rFonts w:eastAsia="Times New Roman"/>
          <w:b/>
        </w:rPr>
      </w:pPr>
    </w:p>
    <w:p w:rsidR="00214D45" w:rsidRDefault="00214D45" w:rsidP="005D565A">
      <w:pPr>
        <w:spacing w:after="0"/>
        <w:jc w:val="center"/>
        <w:rPr>
          <w:rFonts w:eastAsia="Times New Roman"/>
          <w:b/>
        </w:rPr>
      </w:pPr>
    </w:p>
    <w:p w:rsidR="00214D45" w:rsidRDefault="00214D45" w:rsidP="005D565A">
      <w:pPr>
        <w:spacing w:after="0"/>
        <w:jc w:val="center"/>
        <w:rPr>
          <w:rFonts w:eastAsia="Times New Roman"/>
          <w:b/>
        </w:rPr>
      </w:pPr>
    </w:p>
    <w:p w:rsidR="005D565A" w:rsidRPr="005D565A" w:rsidRDefault="005D565A" w:rsidP="005D565A">
      <w:pPr>
        <w:spacing w:after="0"/>
        <w:jc w:val="center"/>
        <w:rPr>
          <w:rFonts w:eastAsia="Times New Roman"/>
          <w:b/>
        </w:rPr>
      </w:pPr>
      <w:r w:rsidRPr="005D565A">
        <w:rPr>
          <w:rFonts w:eastAsia="Times New Roman"/>
          <w:b/>
        </w:rPr>
        <w:t>POLICY AND PROCEDURE</w:t>
      </w:r>
    </w:p>
    <w:p w:rsidR="005D565A" w:rsidRPr="005D565A" w:rsidRDefault="005D565A" w:rsidP="005D565A">
      <w:pPr>
        <w:spacing w:after="0"/>
        <w:jc w:val="center"/>
        <w:rPr>
          <w:rFonts w:eastAsia="Times New Roman"/>
          <w:b/>
        </w:rPr>
      </w:pPr>
    </w:p>
    <w:p w:rsidR="005D565A" w:rsidRDefault="00210127" w:rsidP="005D565A">
      <w:pPr>
        <w:spacing w:after="0"/>
        <w:jc w:val="center"/>
        <w:rPr>
          <w:rFonts w:eastAsia="Times New Roman"/>
          <w:b/>
        </w:rPr>
      </w:pPr>
      <w:r>
        <w:rPr>
          <w:rFonts w:eastAsia="Times New Roman"/>
          <w:b/>
        </w:rPr>
        <w:t xml:space="preserve">WHISTLE BLOWING </w:t>
      </w:r>
      <w:r w:rsidR="005D565A" w:rsidRPr="005D565A">
        <w:rPr>
          <w:rFonts w:eastAsia="Times New Roman"/>
          <w:b/>
        </w:rPr>
        <w:t>POLICY</w:t>
      </w:r>
    </w:p>
    <w:p w:rsidR="00A83826" w:rsidRPr="005D565A" w:rsidRDefault="00A83826" w:rsidP="005D565A">
      <w:pPr>
        <w:spacing w:after="0"/>
        <w:jc w:val="center"/>
        <w:rPr>
          <w:rFonts w:eastAsia="Times New Roman"/>
          <w:b/>
        </w:rPr>
      </w:pPr>
    </w:p>
    <w:p w:rsidR="005D565A" w:rsidRPr="005D565A" w:rsidRDefault="005D565A" w:rsidP="005D565A">
      <w:pPr>
        <w:spacing w:after="0"/>
        <w:rPr>
          <w:rFonts w:eastAsia="Times New Roman"/>
          <w:b/>
          <w:u w:val="single"/>
        </w:rPr>
      </w:pPr>
      <w:r w:rsidRPr="005D565A">
        <w:rPr>
          <w:rFonts w:eastAsia="Times New Roman"/>
          <w:b/>
          <w:u w:val="single"/>
        </w:rPr>
        <w:t>Version Control</w:t>
      </w:r>
    </w:p>
    <w:p w:rsidR="005D565A" w:rsidRPr="005D565A" w:rsidRDefault="005D565A" w:rsidP="005D565A">
      <w:pPr>
        <w:spacing w:after="0"/>
        <w:rPr>
          <w:rFonts w:eastAsia="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290"/>
        <w:gridCol w:w="2343"/>
        <w:gridCol w:w="3078"/>
        <w:gridCol w:w="2612"/>
      </w:tblGrid>
      <w:tr w:rsidR="005D565A" w:rsidRPr="005D565A" w:rsidTr="00655D00">
        <w:tc>
          <w:tcPr>
            <w:tcW w:w="1097" w:type="dxa"/>
            <w:shd w:val="clear" w:color="auto" w:fill="auto"/>
          </w:tcPr>
          <w:p w:rsidR="005D565A" w:rsidRPr="005D565A" w:rsidRDefault="005D565A" w:rsidP="005D565A">
            <w:pPr>
              <w:spacing w:after="0"/>
              <w:rPr>
                <w:rFonts w:eastAsia="Times New Roman"/>
                <w:b/>
              </w:rPr>
            </w:pPr>
            <w:r w:rsidRPr="005D565A">
              <w:rPr>
                <w:rFonts w:eastAsia="Times New Roman"/>
                <w:b/>
              </w:rPr>
              <w:t>Version</w:t>
            </w:r>
          </w:p>
        </w:tc>
        <w:tc>
          <w:tcPr>
            <w:tcW w:w="1290" w:type="dxa"/>
            <w:shd w:val="clear" w:color="auto" w:fill="auto"/>
          </w:tcPr>
          <w:p w:rsidR="005D565A" w:rsidRPr="005D565A" w:rsidRDefault="005D565A" w:rsidP="005D565A">
            <w:pPr>
              <w:spacing w:after="0"/>
              <w:rPr>
                <w:rFonts w:eastAsia="Times New Roman"/>
                <w:b/>
              </w:rPr>
            </w:pPr>
            <w:r w:rsidRPr="005D565A">
              <w:rPr>
                <w:rFonts w:eastAsia="Times New Roman"/>
                <w:b/>
              </w:rPr>
              <w:t>Date</w:t>
            </w:r>
          </w:p>
        </w:tc>
        <w:tc>
          <w:tcPr>
            <w:tcW w:w="2343" w:type="dxa"/>
            <w:shd w:val="clear" w:color="auto" w:fill="auto"/>
          </w:tcPr>
          <w:p w:rsidR="005D565A" w:rsidRPr="005D565A" w:rsidRDefault="005D565A" w:rsidP="005D565A">
            <w:pPr>
              <w:spacing w:after="0"/>
              <w:rPr>
                <w:rFonts w:eastAsia="Times New Roman"/>
                <w:b/>
              </w:rPr>
            </w:pPr>
            <w:r w:rsidRPr="005D565A">
              <w:rPr>
                <w:rFonts w:eastAsia="Times New Roman"/>
                <w:b/>
              </w:rPr>
              <w:t>Name</w:t>
            </w:r>
          </w:p>
        </w:tc>
        <w:tc>
          <w:tcPr>
            <w:tcW w:w="3078" w:type="dxa"/>
            <w:shd w:val="clear" w:color="auto" w:fill="auto"/>
          </w:tcPr>
          <w:p w:rsidR="005D565A" w:rsidRPr="005D565A" w:rsidRDefault="005D565A" w:rsidP="005D565A">
            <w:pPr>
              <w:spacing w:after="0"/>
              <w:rPr>
                <w:rFonts w:eastAsia="Times New Roman"/>
                <w:b/>
              </w:rPr>
            </w:pPr>
            <w:r w:rsidRPr="005D565A">
              <w:rPr>
                <w:rFonts w:eastAsia="Times New Roman"/>
                <w:b/>
              </w:rPr>
              <w:t>Changes</w:t>
            </w:r>
          </w:p>
        </w:tc>
        <w:tc>
          <w:tcPr>
            <w:tcW w:w="2612" w:type="dxa"/>
            <w:shd w:val="clear" w:color="auto" w:fill="auto"/>
          </w:tcPr>
          <w:p w:rsidR="005D565A" w:rsidRPr="005D565A" w:rsidRDefault="005D565A" w:rsidP="005D565A">
            <w:pPr>
              <w:spacing w:after="0"/>
              <w:rPr>
                <w:rFonts w:eastAsia="Times New Roman"/>
                <w:b/>
              </w:rPr>
            </w:pPr>
            <w:r w:rsidRPr="005D565A">
              <w:rPr>
                <w:rFonts w:eastAsia="Times New Roman"/>
                <w:b/>
              </w:rPr>
              <w:t>Distribution</w:t>
            </w:r>
          </w:p>
        </w:tc>
      </w:tr>
      <w:tr w:rsidR="005D565A" w:rsidRPr="005D565A" w:rsidTr="00655D00">
        <w:tc>
          <w:tcPr>
            <w:tcW w:w="1097" w:type="dxa"/>
            <w:shd w:val="clear" w:color="auto" w:fill="auto"/>
          </w:tcPr>
          <w:p w:rsidR="005D565A" w:rsidRPr="005D565A" w:rsidRDefault="005D565A" w:rsidP="005D565A">
            <w:pPr>
              <w:spacing w:after="0"/>
              <w:rPr>
                <w:rFonts w:eastAsia="Times New Roman"/>
              </w:rPr>
            </w:pPr>
            <w:r w:rsidRPr="005D565A">
              <w:rPr>
                <w:rFonts w:eastAsia="Times New Roman"/>
              </w:rPr>
              <w:t>1</w:t>
            </w:r>
          </w:p>
        </w:tc>
        <w:tc>
          <w:tcPr>
            <w:tcW w:w="1290" w:type="dxa"/>
            <w:shd w:val="clear" w:color="auto" w:fill="auto"/>
          </w:tcPr>
          <w:p w:rsidR="005D565A" w:rsidRPr="005D565A" w:rsidRDefault="005D565A" w:rsidP="005D565A">
            <w:pPr>
              <w:spacing w:after="0"/>
              <w:rPr>
                <w:rFonts w:eastAsia="Times New Roman"/>
              </w:rPr>
            </w:pPr>
          </w:p>
        </w:tc>
        <w:tc>
          <w:tcPr>
            <w:tcW w:w="2343" w:type="dxa"/>
            <w:shd w:val="clear" w:color="auto" w:fill="auto"/>
          </w:tcPr>
          <w:p w:rsidR="005D565A" w:rsidRPr="005D565A" w:rsidRDefault="00210127" w:rsidP="005D565A">
            <w:pPr>
              <w:spacing w:after="0"/>
              <w:rPr>
                <w:rFonts w:eastAsia="Times New Roman"/>
              </w:rPr>
            </w:pPr>
            <w:r>
              <w:rPr>
                <w:rFonts w:eastAsia="Times New Roman"/>
              </w:rPr>
              <w:t>Angie Brett</w:t>
            </w:r>
          </w:p>
        </w:tc>
        <w:tc>
          <w:tcPr>
            <w:tcW w:w="3078" w:type="dxa"/>
            <w:shd w:val="clear" w:color="auto" w:fill="auto"/>
          </w:tcPr>
          <w:p w:rsidR="005D565A" w:rsidRPr="005D565A" w:rsidRDefault="005D565A" w:rsidP="005D565A">
            <w:pPr>
              <w:spacing w:after="0"/>
              <w:rPr>
                <w:rFonts w:eastAsia="Times New Roman"/>
              </w:rPr>
            </w:pPr>
            <w:r w:rsidRPr="005D565A">
              <w:rPr>
                <w:rFonts w:eastAsia="Times New Roman"/>
              </w:rPr>
              <w:t>Policy established</w:t>
            </w:r>
          </w:p>
        </w:tc>
        <w:tc>
          <w:tcPr>
            <w:tcW w:w="2612" w:type="dxa"/>
            <w:shd w:val="clear" w:color="auto" w:fill="auto"/>
          </w:tcPr>
          <w:p w:rsidR="005D565A" w:rsidRPr="005D565A" w:rsidRDefault="00A83826" w:rsidP="00A83826">
            <w:pPr>
              <w:spacing w:after="0"/>
              <w:rPr>
                <w:rFonts w:eastAsia="Times New Roman"/>
              </w:rPr>
            </w:pPr>
            <w:r w:rsidRPr="005D565A">
              <w:rPr>
                <w:rFonts w:eastAsia="Times New Roman"/>
              </w:rPr>
              <w:t xml:space="preserve">Trustees and </w:t>
            </w:r>
            <w:r>
              <w:rPr>
                <w:rFonts w:eastAsia="Times New Roman"/>
              </w:rPr>
              <w:t>manager</w:t>
            </w:r>
          </w:p>
        </w:tc>
      </w:tr>
      <w:tr w:rsidR="005D565A" w:rsidRPr="005D565A" w:rsidTr="00655D00">
        <w:tc>
          <w:tcPr>
            <w:tcW w:w="1097" w:type="dxa"/>
            <w:shd w:val="clear" w:color="auto" w:fill="auto"/>
          </w:tcPr>
          <w:p w:rsidR="005D565A" w:rsidRPr="005D565A" w:rsidRDefault="005D565A" w:rsidP="005D565A">
            <w:pPr>
              <w:spacing w:after="0"/>
              <w:rPr>
                <w:rFonts w:eastAsia="Times New Roman"/>
              </w:rPr>
            </w:pPr>
            <w:r w:rsidRPr="005D565A">
              <w:rPr>
                <w:rFonts w:eastAsia="Times New Roman"/>
              </w:rPr>
              <w:t>2</w:t>
            </w:r>
          </w:p>
        </w:tc>
        <w:tc>
          <w:tcPr>
            <w:tcW w:w="1290" w:type="dxa"/>
            <w:shd w:val="clear" w:color="auto" w:fill="auto"/>
          </w:tcPr>
          <w:p w:rsidR="005D565A" w:rsidRPr="005D565A" w:rsidRDefault="005D565A" w:rsidP="005D565A">
            <w:pPr>
              <w:spacing w:after="0"/>
              <w:rPr>
                <w:rFonts w:eastAsia="Times New Roman"/>
              </w:rPr>
            </w:pPr>
          </w:p>
        </w:tc>
        <w:tc>
          <w:tcPr>
            <w:tcW w:w="2343" w:type="dxa"/>
            <w:shd w:val="clear" w:color="auto" w:fill="auto"/>
          </w:tcPr>
          <w:p w:rsidR="005D565A" w:rsidRPr="005D565A" w:rsidRDefault="005D565A" w:rsidP="005D565A">
            <w:pPr>
              <w:spacing w:after="0"/>
              <w:rPr>
                <w:rFonts w:eastAsia="Times New Roman"/>
              </w:rPr>
            </w:pPr>
          </w:p>
        </w:tc>
        <w:tc>
          <w:tcPr>
            <w:tcW w:w="3078" w:type="dxa"/>
            <w:shd w:val="clear" w:color="auto" w:fill="auto"/>
          </w:tcPr>
          <w:p w:rsidR="005D565A" w:rsidRPr="005D565A" w:rsidRDefault="005D565A" w:rsidP="005D565A">
            <w:pPr>
              <w:spacing w:after="0"/>
              <w:rPr>
                <w:rFonts w:eastAsia="Times New Roman"/>
              </w:rPr>
            </w:pPr>
          </w:p>
        </w:tc>
        <w:tc>
          <w:tcPr>
            <w:tcW w:w="2612" w:type="dxa"/>
            <w:shd w:val="clear" w:color="auto" w:fill="auto"/>
          </w:tcPr>
          <w:p w:rsidR="005D565A" w:rsidRPr="005D565A" w:rsidRDefault="005D565A" w:rsidP="005D565A">
            <w:pPr>
              <w:spacing w:after="0"/>
              <w:rPr>
                <w:rFonts w:eastAsia="Times New Roman"/>
              </w:rPr>
            </w:pPr>
          </w:p>
        </w:tc>
      </w:tr>
      <w:tr w:rsidR="005D565A" w:rsidRPr="005D565A" w:rsidTr="00655D00">
        <w:tc>
          <w:tcPr>
            <w:tcW w:w="1097" w:type="dxa"/>
            <w:shd w:val="clear" w:color="auto" w:fill="auto"/>
          </w:tcPr>
          <w:p w:rsidR="005D565A" w:rsidRPr="005D565A" w:rsidRDefault="005D565A" w:rsidP="005D565A">
            <w:pPr>
              <w:spacing w:after="0"/>
              <w:rPr>
                <w:rFonts w:eastAsia="Times New Roman"/>
              </w:rPr>
            </w:pPr>
            <w:r w:rsidRPr="005D565A">
              <w:rPr>
                <w:rFonts w:eastAsia="Times New Roman"/>
              </w:rPr>
              <w:t>3</w:t>
            </w:r>
          </w:p>
        </w:tc>
        <w:tc>
          <w:tcPr>
            <w:tcW w:w="1290" w:type="dxa"/>
            <w:shd w:val="clear" w:color="auto" w:fill="auto"/>
          </w:tcPr>
          <w:p w:rsidR="005D565A" w:rsidRPr="005D565A" w:rsidRDefault="005D565A" w:rsidP="005D565A">
            <w:pPr>
              <w:spacing w:after="0"/>
              <w:rPr>
                <w:rFonts w:eastAsia="Times New Roman"/>
              </w:rPr>
            </w:pPr>
          </w:p>
        </w:tc>
        <w:tc>
          <w:tcPr>
            <w:tcW w:w="2343" w:type="dxa"/>
            <w:shd w:val="clear" w:color="auto" w:fill="auto"/>
          </w:tcPr>
          <w:p w:rsidR="005D565A" w:rsidRPr="005D565A" w:rsidRDefault="005D565A" w:rsidP="005D565A">
            <w:pPr>
              <w:spacing w:after="0"/>
              <w:rPr>
                <w:rFonts w:eastAsia="Times New Roman"/>
              </w:rPr>
            </w:pPr>
          </w:p>
        </w:tc>
        <w:tc>
          <w:tcPr>
            <w:tcW w:w="3078" w:type="dxa"/>
            <w:shd w:val="clear" w:color="auto" w:fill="auto"/>
          </w:tcPr>
          <w:p w:rsidR="005D565A" w:rsidRPr="005D565A" w:rsidRDefault="005D565A" w:rsidP="005D565A">
            <w:pPr>
              <w:spacing w:after="0"/>
              <w:rPr>
                <w:rFonts w:eastAsia="Times New Roman"/>
              </w:rPr>
            </w:pPr>
          </w:p>
        </w:tc>
        <w:tc>
          <w:tcPr>
            <w:tcW w:w="2612" w:type="dxa"/>
            <w:shd w:val="clear" w:color="auto" w:fill="auto"/>
          </w:tcPr>
          <w:p w:rsidR="005D565A" w:rsidRPr="005D565A" w:rsidRDefault="005D565A" w:rsidP="005D565A">
            <w:pPr>
              <w:spacing w:after="0"/>
              <w:rPr>
                <w:rFonts w:eastAsia="Times New Roman"/>
              </w:rPr>
            </w:pPr>
          </w:p>
        </w:tc>
      </w:tr>
      <w:tr w:rsidR="005D565A" w:rsidRPr="005D565A" w:rsidTr="00655D00">
        <w:tc>
          <w:tcPr>
            <w:tcW w:w="1097" w:type="dxa"/>
            <w:shd w:val="clear" w:color="auto" w:fill="auto"/>
          </w:tcPr>
          <w:p w:rsidR="005D565A" w:rsidRPr="005D565A" w:rsidRDefault="005D565A" w:rsidP="005D565A">
            <w:pPr>
              <w:spacing w:after="0"/>
              <w:rPr>
                <w:rFonts w:eastAsia="Times New Roman"/>
              </w:rPr>
            </w:pPr>
            <w:r w:rsidRPr="005D565A">
              <w:rPr>
                <w:rFonts w:eastAsia="Times New Roman"/>
              </w:rPr>
              <w:t>4</w:t>
            </w:r>
          </w:p>
        </w:tc>
        <w:tc>
          <w:tcPr>
            <w:tcW w:w="1290" w:type="dxa"/>
            <w:shd w:val="clear" w:color="auto" w:fill="auto"/>
          </w:tcPr>
          <w:p w:rsidR="005D565A" w:rsidRPr="005D565A" w:rsidRDefault="005D565A" w:rsidP="005D565A">
            <w:pPr>
              <w:spacing w:after="0"/>
              <w:rPr>
                <w:rFonts w:eastAsia="Times New Roman"/>
              </w:rPr>
            </w:pPr>
          </w:p>
        </w:tc>
        <w:tc>
          <w:tcPr>
            <w:tcW w:w="2343" w:type="dxa"/>
            <w:shd w:val="clear" w:color="auto" w:fill="auto"/>
          </w:tcPr>
          <w:p w:rsidR="005D565A" w:rsidRPr="005D565A" w:rsidRDefault="005D565A" w:rsidP="005D565A">
            <w:pPr>
              <w:spacing w:after="0"/>
              <w:rPr>
                <w:rFonts w:eastAsia="Times New Roman"/>
              </w:rPr>
            </w:pPr>
          </w:p>
        </w:tc>
        <w:tc>
          <w:tcPr>
            <w:tcW w:w="3078" w:type="dxa"/>
            <w:shd w:val="clear" w:color="auto" w:fill="auto"/>
          </w:tcPr>
          <w:p w:rsidR="005D565A" w:rsidRPr="005D565A" w:rsidRDefault="005D565A" w:rsidP="005D565A">
            <w:pPr>
              <w:spacing w:after="0"/>
              <w:rPr>
                <w:rFonts w:eastAsia="Times New Roman"/>
              </w:rPr>
            </w:pPr>
          </w:p>
        </w:tc>
        <w:tc>
          <w:tcPr>
            <w:tcW w:w="2612" w:type="dxa"/>
            <w:shd w:val="clear" w:color="auto" w:fill="auto"/>
          </w:tcPr>
          <w:p w:rsidR="005D565A" w:rsidRPr="005D565A" w:rsidRDefault="005D565A" w:rsidP="005D565A">
            <w:pPr>
              <w:spacing w:after="0"/>
              <w:rPr>
                <w:rFonts w:eastAsia="Times New Roman"/>
              </w:rPr>
            </w:pPr>
          </w:p>
        </w:tc>
      </w:tr>
    </w:tbl>
    <w:p w:rsidR="005D565A" w:rsidRDefault="005D565A" w:rsidP="005D565A"/>
    <w:p w:rsidR="00210127" w:rsidRPr="00210127" w:rsidRDefault="00210127" w:rsidP="00210127">
      <w:pPr>
        <w:autoSpaceDE w:val="0"/>
        <w:autoSpaceDN w:val="0"/>
        <w:adjustRightInd w:val="0"/>
        <w:spacing w:after="0"/>
        <w:rPr>
          <w:b/>
          <w:bCs/>
          <w:color w:val="000000"/>
          <w:sz w:val="28"/>
          <w:szCs w:val="28"/>
        </w:rPr>
      </w:pPr>
      <w:r w:rsidRPr="00210127">
        <w:rPr>
          <w:b/>
          <w:bCs/>
          <w:color w:val="000000"/>
          <w:sz w:val="28"/>
          <w:szCs w:val="28"/>
        </w:rPr>
        <w:t>Whistle blowing policy and procedure</w:t>
      </w:r>
    </w:p>
    <w:p w:rsidR="00210127" w:rsidRPr="00210127" w:rsidRDefault="00210127" w:rsidP="00210127">
      <w:pPr>
        <w:autoSpaceDE w:val="0"/>
        <w:autoSpaceDN w:val="0"/>
        <w:adjustRightInd w:val="0"/>
        <w:spacing w:after="0"/>
        <w:rPr>
          <w:b/>
          <w:bCs/>
          <w:color w:val="000000"/>
        </w:rPr>
      </w:pPr>
    </w:p>
    <w:p w:rsidR="00210127" w:rsidRPr="00210127" w:rsidRDefault="00210127" w:rsidP="00210127">
      <w:pPr>
        <w:autoSpaceDE w:val="0"/>
        <w:autoSpaceDN w:val="0"/>
        <w:adjustRightInd w:val="0"/>
        <w:spacing w:after="0"/>
        <w:rPr>
          <w:b/>
          <w:bCs/>
          <w:color w:val="000000"/>
        </w:rPr>
      </w:pPr>
      <w:r w:rsidRPr="00210127">
        <w:rPr>
          <w:b/>
          <w:bCs/>
          <w:color w:val="000000"/>
        </w:rPr>
        <w:t>Purpose</w:t>
      </w:r>
    </w:p>
    <w:p w:rsidR="00210127" w:rsidRPr="00210127" w:rsidRDefault="00210127" w:rsidP="00210127">
      <w:pPr>
        <w:autoSpaceDE w:val="0"/>
        <w:autoSpaceDN w:val="0"/>
        <w:adjustRightInd w:val="0"/>
        <w:spacing w:after="0"/>
        <w:rPr>
          <w:b/>
          <w:bCs/>
          <w:color w:val="000000"/>
        </w:rPr>
      </w:pPr>
    </w:p>
    <w:p w:rsidR="00210127" w:rsidRPr="00210127" w:rsidRDefault="00210127" w:rsidP="00210127">
      <w:pPr>
        <w:autoSpaceDE w:val="0"/>
        <w:autoSpaceDN w:val="0"/>
        <w:adjustRightInd w:val="0"/>
        <w:spacing w:after="0"/>
        <w:rPr>
          <w:color w:val="000000"/>
        </w:rPr>
      </w:pPr>
      <w:r w:rsidRPr="00210127">
        <w:rPr>
          <w:color w:val="000000"/>
        </w:rPr>
        <w:t>Whistle- blowing is an important aspect of safeguarding, where staff/volunteers are encouraged to express concerns or grievances about their organisation without fear of victimisation, discrimination or reprisals in any form.</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r w:rsidRPr="00210127">
        <w:rPr>
          <w:color w:val="000000"/>
        </w:rPr>
        <w:t xml:space="preserve">If any member of staff or volunteer raises </w:t>
      </w:r>
      <w:r w:rsidRPr="00210127">
        <w:rPr>
          <w:color w:val="000000"/>
        </w:rPr>
        <w:t>concerns about</w:t>
      </w:r>
      <w:r w:rsidRPr="00210127">
        <w:rPr>
          <w:color w:val="000000"/>
        </w:rPr>
        <w:t xml:space="preserve"> a serious problem in their organisation then they are protected by the Public Interest Disclosure Act 1998 which came into force in July 1999.  This Act applies where a worker has a reasonable belief that their disclosure demonstrates one or more of the following offences or breaches:</w:t>
      </w:r>
    </w:p>
    <w:p w:rsidR="00210127" w:rsidRPr="00210127" w:rsidRDefault="00210127" w:rsidP="00210127">
      <w:pPr>
        <w:autoSpaceDE w:val="0"/>
        <w:autoSpaceDN w:val="0"/>
        <w:adjustRightInd w:val="0"/>
        <w:spacing w:after="0"/>
        <w:rPr>
          <w:color w:val="000000"/>
        </w:rPr>
      </w:pP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A criminal offence</w:t>
      </w: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Breach of a legal obligation</w:t>
      </w: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Miscarriage of justice</w:t>
      </w: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A danger to the environment</w:t>
      </w: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Deliberate covering up of information tending to show any of the above</w:t>
      </w: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Financial frauds and malpractice</w:t>
      </w: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Other types of corruption</w:t>
      </w: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Abuse or neglect of vulnerable people/customers</w:t>
      </w: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Poor standards of service</w:t>
      </w: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Damaging personal conflicts at senior level</w:t>
      </w: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Bullying, harassment or victimisation in the workplace</w:t>
      </w:r>
    </w:p>
    <w:p w:rsidR="00210127" w:rsidRPr="00210127" w:rsidRDefault="00210127" w:rsidP="00210127">
      <w:pPr>
        <w:numPr>
          <w:ilvl w:val="0"/>
          <w:numId w:val="9"/>
        </w:numPr>
        <w:autoSpaceDE w:val="0"/>
        <w:autoSpaceDN w:val="0"/>
        <w:adjustRightInd w:val="0"/>
        <w:spacing w:after="0" w:line="276" w:lineRule="auto"/>
        <w:contextualSpacing/>
        <w:rPr>
          <w:color w:val="000000"/>
        </w:rPr>
      </w:pPr>
      <w:r w:rsidRPr="00210127">
        <w:rPr>
          <w:color w:val="000000"/>
        </w:rPr>
        <w:t>Danger to health or safety of an individual</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b/>
          <w:bCs/>
          <w:color w:val="000000"/>
        </w:rPr>
      </w:pPr>
      <w:r w:rsidRPr="00210127">
        <w:rPr>
          <w:b/>
          <w:bCs/>
          <w:color w:val="000000"/>
        </w:rPr>
        <w:t>Persons affected by this Policy</w:t>
      </w:r>
    </w:p>
    <w:p w:rsidR="00210127" w:rsidRPr="00210127" w:rsidRDefault="00210127" w:rsidP="00210127">
      <w:pPr>
        <w:autoSpaceDE w:val="0"/>
        <w:autoSpaceDN w:val="0"/>
        <w:adjustRightInd w:val="0"/>
        <w:spacing w:after="0"/>
      </w:pPr>
      <w:r w:rsidRPr="00210127">
        <w:rPr>
          <w:color w:val="000000"/>
        </w:rPr>
        <w:t xml:space="preserve">All </w:t>
      </w:r>
      <w:proofErr w:type="gramStart"/>
      <w:r w:rsidRPr="00210127">
        <w:t>Beyond</w:t>
      </w:r>
      <w:proofErr w:type="gramEnd"/>
      <w:r w:rsidRPr="00210127">
        <w:t xml:space="preserve"> The Wall</w:t>
      </w:r>
      <w:r w:rsidRPr="00210127">
        <w:t xml:space="preserve">: </w:t>
      </w:r>
    </w:p>
    <w:p w:rsidR="00210127" w:rsidRPr="00210127" w:rsidRDefault="00210127" w:rsidP="00210127">
      <w:pPr>
        <w:autoSpaceDE w:val="0"/>
        <w:autoSpaceDN w:val="0"/>
        <w:adjustRightInd w:val="0"/>
        <w:spacing w:after="0"/>
        <w:rPr>
          <w:color w:val="000000"/>
        </w:rPr>
      </w:pPr>
      <w:r w:rsidRPr="00210127">
        <w:rPr>
          <w:color w:val="000000"/>
        </w:rPr>
        <w:t xml:space="preserve">Employees </w:t>
      </w:r>
    </w:p>
    <w:p w:rsidR="00210127" w:rsidRPr="00210127" w:rsidRDefault="00210127" w:rsidP="00210127">
      <w:pPr>
        <w:autoSpaceDE w:val="0"/>
        <w:autoSpaceDN w:val="0"/>
        <w:adjustRightInd w:val="0"/>
        <w:spacing w:after="0"/>
        <w:rPr>
          <w:color w:val="000000"/>
        </w:rPr>
      </w:pPr>
      <w:r w:rsidRPr="00210127">
        <w:rPr>
          <w:color w:val="000000"/>
        </w:rPr>
        <w:t>Volunteers</w:t>
      </w:r>
    </w:p>
    <w:p w:rsidR="00210127" w:rsidRPr="00210127" w:rsidRDefault="00210127" w:rsidP="00210127">
      <w:pPr>
        <w:autoSpaceDE w:val="0"/>
        <w:autoSpaceDN w:val="0"/>
        <w:adjustRightInd w:val="0"/>
        <w:spacing w:after="0"/>
        <w:rPr>
          <w:color w:val="000000"/>
        </w:rPr>
      </w:pPr>
      <w:r w:rsidRPr="00210127">
        <w:rPr>
          <w:color w:val="000000"/>
        </w:rPr>
        <w:t xml:space="preserve">Freelance staff </w:t>
      </w:r>
    </w:p>
    <w:p w:rsidR="00210127" w:rsidRPr="00210127" w:rsidRDefault="00210127" w:rsidP="00210127">
      <w:pPr>
        <w:autoSpaceDE w:val="0"/>
        <w:autoSpaceDN w:val="0"/>
        <w:adjustRightInd w:val="0"/>
        <w:spacing w:after="0"/>
        <w:rPr>
          <w:color w:val="000000"/>
        </w:rPr>
      </w:pPr>
      <w:r w:rsidRPr="00210127">
        <w:rPr>
          <w:color w:val="000000"/>
        </w:rPr>
        <w:t>Suppliers/contractors</w:t>
      </w:r>
    </w:p>
    <w:p w:rsidR="00210127" w:rsidRPr="00210127" w:rsidRDefault="00210127" w:rsidP="00210127">
      <w:pPr>
        <w:autoSpaceDE w:val="0"/>
        <w:autoSpaceDN w:val="0"/>
        <w:adjustRightInd w:val="0"/>
        <w:spacing w:after="0"/>
        <w:rPr>
          <w:color w:val="000000"/>
        </w:rPr>
      </w:pPr>
      <w:r w:rsidRPr="00210127">
        <w:rPr>
          <w:color w:val="000000"/>
        </w:rPr>
        <w:t xml:space="preserve">Service users and families, parents/carers </w:t>
      </w:r>
    </w:p>
    <w:p w:rsidR="00210127" w:rsidRPr="00210127" w:rsidRDefault="00210127" w:rsidP="00210127">
      <w:pPr>
        <w:autoSpaceDE w:val="0"/>
        <w:autoSpaceDN w:val="0"/>
        <w:adjustRightInd w:val="0"/>
        <w:spacing w:after="0"/>
        <w:rPr>
          <w:color w:val="000000"/>
        </w:rPr>
      </w:pPr>
      <w:r w:rsidRPr="00210127">
        <w:rPr>
          <w:color w:val="000000"/>
        </w:rPr>
        <w:t xml:space="preserve">Trustees </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b/>
          <w:bCs/>
          <w:color w:val="000000"/>
        </w:rPr>
      </w:pPr>
      <w:r w:rsidRPr="00210127">
        <w:rPr>
          <w:b/>
          <w:bCs/>
          <w:color w:val="000000"/>
        </w:rPr>
        <w:t>Policy</w:t>
      </w:r>
    </w:p>
    <w:p w:rsidR="00210127" w:rsidRPr="00210127" w:rsidRDefault="00210127" w:rsidP="00210127">
      <w:pPr>
        <w:autoSpaceDE w:val="0"/>
        <w:autoSpaceDN w:val="0"/>
        <w:adjustRightInd w:val="0"/>
        <w:spacing w:after="0"/>
        <w:rPr>
          <w:color w:val="000000"/>
        </w:rPr>
      </w:pPr>
      <w:r w:rsidRPr="00210127">
        <w:rPr>
          <w:color w:val="000000"/>
        </w:rPr>
        <w:t>We support measures that protect whistle-blowers from any form of victimisation.  We have a procedure to ensure concerns are dealt with effectively and efficiently and to preserve, as far as possible, the confidentiality of the person who has raised the concern.</w:t>
      </w:r>
    </w:p>
    <w:p w:rsidR="00210127" w:rsidRPr="00210127" w:rsidRDefault="00210127" w:rsidP="00210127">
      <w:pPr>
        <w:autoSpaceDE w:val="0"/>
        <w:autoSpaceDN w:val="0"/>
        <w:adjustRightInd w:val="0"/>
        <w:spacing w:after="0"/>
        <w:rPr>
          <w:b/>
          <w:bCs/>
          <w:color w:val="000000"/>
        </w:rPr>
      </w:pPr>
    </w:p>
    <w:p w:rsidR="00210127" w:rsidRPr="00210127" w:rsidRDefault="00210127" w:rsidP="00210127">
      <w:pPr>
        <w:autoSpaceDE w:val="0"/>
        <w:autoSpaceDN w:val="0"/>
        <w:adjustRightInd w:val="0"/>
        <w:spacing w:after="0"/>
        <w:rPr>
          <w:color w:val="000000"/>
        </w:rPr>
      </w:pPr>
      <w:r w:rsidRPr="00210127">
        <w:rPr>
          <w:color w:val="000000"/>
        </w:rPr>
        <w:t>As part of that commitment, we encourage anyone with serious concerns about any aspect of the work to come forward and express their concerns. In many cases, concerns or complaints will be dealt with through the procedures mentioned.</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b/>
          <w:bCs/>
          <w:color w:val="000000"/>
        </w:rPr>
      </w:pPr>
      <w:r w:rsidRPr="00210127">
        <w:rPr>
          <w:b/>
          <w:bCs/>
          <w:color w:val="000000"/>
        </w:rPr>
        <w:t>Procedure to Follow</w:t>
      </w:r>
    </w:p>
    <w:p w:rsidR="00210127" w:rsidRPr="00210127" w:rsidRDefault="00210127" w:rsidP="00210127">
      <w:pPr>
        <w:autoSpaceDE w:val="0"/>
        <w:autoSpaceDN w:val="0"/>
        <w:adjustRightInd w:val="0"/>
        <w:spacing w:after="0"/>
        <w:rPr>
          <w:color w:val="000000"/>
        </w:rPr>
      </w:pPr>
      <w:r w:rsidRPr="00210127">
        <w:rPr>
          <w:color w:val="000000"/>
        </w:rPr>
        <w:t xml:space="preserve">The following procedures are in place to make provision for anyone </w:t>
      </w:r>
      <w:r w:rsidRPr="00210127">
        <w:t xml:space="preserve">within </w:t>
      </w:r>
      <w:r w:rsidRPr="00210127">
        <w:t xml:space="preserve">Beyond </w:t>
      </w:r>
      <w:proofErr w:type="gramStart"/>
      <w:r w:rsidRPr="00210127">
        <w:t>The</w:t>
      </w:r>
      <w:proofErr w:type="gramEnd"/>
      <w:r w:rsidRPr="00210127">
        <w:t xml:space="preserve"> Wall</w:t>
      </w:r>
      <w:r w:rsidRPr="00210127">
        <w:t xml:space="preserve"> to </w:t>
      </w:r>
      <w:r w:rsidRPr="00210127">
        <w:rPr>
          <w:color w:val="000000"/>
        </w:rPr>
        <w:t>disclose information of suspected malpractice (as cited above in Purpose) on a confidential basis and to be protected against victimisation, reprisals or dismissal.</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r w:rsidRPr="00210127">
        <w:rPr>
          <w:color w:val="000000"/>
        </w:rPr>
        <w:t>Concerns should be reported at an early stage before problems have a chance to become serious. We will support concerned employees, freelance staff, suppliers, volunteers, service users or any other person and protect them from reprisals or victimisation. Confidentiality will be respected.</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r w:rsidRPr="00210127">
        <w:rPr>
          <w:color w:val="000000"/>
        </w:rPr>
        <w:t>Any member of staff, whether an employee, freelance or volunteer, found trying to discourage concerned employees, suppliers, volunteers or service users from coming forward to express a concern will be subject to disciplinary action. In the same way, an employee or other member of staff criticising or victimising an employee, volunteer, supplier or service user as a result of a concern being expressed will also face disciplinary action.</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b/>
          <w:bCs/>
          <w:color w:val="000000"/>
        </w:rPr>
      </w:pPr>
      <w:r w:rsidRPr="00210127">
        <w:rPr>
          <w:b/>
          <w:bCs/>
          <w:color w:val="000000"/>
        </w:rPr>
        <w:t xml:space="preserve">Who to Contact      </w:t>
      </w:r>
    </w:p>
    <w:p w:rsidR="00210127" w:rsidRPr="00210127" w:rsidRDefault="00210127" w:rsidP="00210127">
      <w:pPr>
        <w:autoSpaceDE w:val="0"/>
        <w:autoSpaceDN w:val="0"/>
        <w:adjustRightInd w:val="0"/>
        <w:spacing w:after="0"/>
        <w:rPr>
          <w:color w:val="000000"/>
        </w:rPr>
      </w:pPr>
      <w:r w:rsidRPr="00210127">
        <w:rPr>
          <w:color w:val="000000"/>
        </w:rPr>
        <w:t>In the first instance, anyone wishing to raise a concern should do so, in confidence, to their manager.</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r w:rsidRPr="00210127">
        <w:rPr>
          <w:color w:val="000000"/>
        </w:rPr>
        <w:t>If for some reason this is not possible, (e.g. the concern relates to their manager) then they should report</w:t>
      </w:r>
      <w:r>
        <w:rPr>
          <w:color w:val="000000"/>
        </w:rPr>
        <w:t xml:space="preserve"> it to</w:t>
      </w:r>
      <w:r w:rsidRPr="00210127">
        <w:rPr>
          <w:color w:val="000000"/>
        </w:rPr>
        <w:t xml:space="preserve"> the Chair of the B</w:t>
      </w:r>
      <w:r>
        <w:rPr>
          <w:color w:val="000000"/>
        </w:rPr>
        <w:t>oard of Trustees.</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r w:rsidRPr="00210127">
        <w:rPr>
          <w:color w:val="000000"/>
        </w:rPr>
        <w:t>Concerns can be communicated verbally or in writing.</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r w:rsidRPr="00210127">
        <w:rPr>
          <w:color w:val="000000"/>
        </w:rPr>
        <w:t>If policy and procedures within the organisation are working properly there should be no need for contact to be made with an external agency to express concerns. However, if these internal procedures have been exhausted, then the concerns may be reported as follows:</w:t>
      </w:r>
    </w:p>
    <w:p w:rsidR="00210127" w:rsidRPr="00210127" w:rsidRDefault="00210127" w:rsidP="00210127">
      <w:pPr>
        <w:autoSpaceDE w:val="0"/>
        <w:autoSpaceDN w:val="0"/>
        <w:adjustRightInd w:val="0"/>
        <w:spacing w:after="0"/>
        <w:rPr>
          <w:color w:val="000000"/>
        </w:rPr>
      </w:pPr>
    </w:p>
    <w:p w:rsidR="00210127" w:rsidRPr="00210127" w:rsidRDefault="00210127" w:rsidP="00210127">
      <w:pPr>
        <w:numPr>
          <w:ilvl w:val="0"/>
          <w:numId w:val="10"/>
        </w:numPr>
        <w:autoSpaceDE w:val="0"/>
        <w:autoSpaceDN w:val="0"/>
        <w:adjustRightInd w:val="0"/>
        <w:spacing w:after="0" w:line="276" w:lineRule="auto"/>
        <w:contextualSpacing/>
      </w:pPr>
      <w:r w:rsidRPr="00210127">
        <w:rPr>
          <w:color w:val="000000"/>
        </w:rPr>
        <w:t xml:space="preserve">If the problem involves a senior member of staff of the organisation - </w:t>
      </w:r>
      <w:r w:rsidRPr="00210127">
        <w:t>contact the Chair of the Board of Trustees</w:t>
      </w:r>
      <w:r w:rsidRPr="00210127">
        <w:t xml:space="preserve"> </w:t>
      </w:r>
    </w:p>
    <w:p w:rsidR="00210127" w:rsidRPr="00210127" w:rsidRDefault="00210127" w:rsidP="00210127">
      <w:pPr>
        <w:autoSpaceDE w:val="0"/>
        <w:autoSpaceDN w:val="0"/>
        <w:adjustRightInd w:val="0"/>
        <w:spacing w:after="0"/>
        <w:ind w:left="720"/>
        <w:contextualSpacing/>
      </w:pPr>
    </w:p>
    <w:p w:rsidR="00210127" w:rsidRPr="00210127" w:rsidRDefault="00210127" w:rsidP="00210127">
      <w:pPr>
        <w:numPr>
          <w:ilvl w:val="0"/>
          <w:numId w:val="10"/>
        </w:numPr>
        <w:autoSpaceDE w:val="0"/>
        <w:autoSpaceDN w:val="0"/>
        <w:adjustRightInd w:val="0"/>
        <w:spacing w:after="0" w:line="276" w:lineRule="auto"/>
        <w:contextualSpacing/>
      </w:pPr>
      <w:r w:rsidRPr="00210127">
        <w:rPr>
          <w:color w:val="000000"/>
        </w:rPr>
        <w:t xml:space="preserve">In the case of criminal offence – contact the police and notify the </w:t>
      </w:r>
      <w:r w:rsidRPr="00210127">
        <w:t>Chair of the Board of Trustees.</w:t>
      </w:r>
    </w:p>
    <w:p w:rsidR="00210127" w:rsidRPr="00210127" w:rsidRDefault="00210127" w:rsidP="00210127">
      <w:pPr>
        <w:autoSpaceDE w:val="0"/>
        <w:autoSpaceDN w:val="0"/>
        <w:adjustRightInd w:val="0"/>
        <w:spacing w:after="0"/>
        <w:ind w:left="720"/>
        <w:contextualSpacing/>
        <w:rPr>
          <w:color w:val="000000"/>
        </w:rPr>
      </w:pPr>
    </w:p>
    <w:p w:rsidR="00210127" w:rsidRPr="00210127" w:rsidRDefault="00210127" w:rsidP="00210127">
      <w:pPr>
        <w:numPr>
          <w:ilvl w:val="0"/>
          <w:numId w:val="10"/>
        </w:numPr>
        <w:autoSpaceDE w:val="0"/>
        <w:autoSpaceDN w:val="0"/>
        <w:adjustRightInd w:val="0"/>
        <w:spacing w:after="0" w:line="276" w:lineRule="auto"/>
        <w:contextualSpacing/>
        <w:rPr>
          <w:color w:val="FF0000"/>
        </w:rPr>
      </w:pPr>
      <w:r w:rsidRPr="00210127">
        <w:rPr>
          <w:color w:val="000000"/>
        </w:rPr>
        <w:t xml:space="preserve">In the case of abuse of children and vulnerable people – notify the safeguarding lead who will notify the LADO, local authority social services and the </w:t>
      </w:r>
      <w:r w:rsidRPr="00210127">
        <w:t>Chair of the Board of Trustees</w:t>
      </w:r>
      <w:r w:rsidRPr="00210127">
        <w:rPr>
          <w:color w:val="FF0000"/>
        </w:rPr>
        <w:t>.</w:t>
      </w:r>
    </w:p>
    <w:p w:rsidR="00210127" w:rsidRPr="00210127" w:rsidRDefault="00210127" w:rsidP="00210127">
      <w:pPr>
        <w:autoSpaceDE w:val="0"/>
        <w:autoSpaceDN w:val="0"/>
        <w:adjustRightInd w:val="0"/>
        <w:spacing w:after="0"/>
        <w:ind w:left="720"/>
        <w:contextualSpacing/>
        <w:rPr>
          <w:color w:val="FF0000"/>
        </w:rPr>
      </w:pPr>
    </w:p>
    <w:p w:rsidR="00210127" w:rsidRPr="00210127" w:rsidRDefault="00210127" w:rsidP="00210127">
      <w:pPr>
        <w:numPr>
          <w:ilvl w:val="0"/>
          <w:numId w:val="8"/>
        </w:numPr>
        <w:autoSpaceDE w:val="0"/>
        <w:autoSpaceDN w:val="0"/>
        <w:adjustRightInd w:val="0"/>
        <w:spacing w:after="0" w:line="276" w:lineRule="auto"/>
        <w:contextualSpacing/>
      </w:pPr>
      <w:r w:rsidRPr="00210127">
        <w:rPr>
          <w:color w:val="000000"/>
        </w:rPr>
        <w:t xml:space="preserve">In the case of abuse of public funds – contact Companies House and notify the </w:t>
      </w:r>
      <w:r w:rsidRPr="00210127">
        <w:t>Chair of the Board of Trustees.</w:t>
      </w:r>
    </w:p>
    <w:p w:rsidR="00210127" w:rsidRPr="00210127" w:rsidRDefault="00210127" w:rsidP="00210127">
      <w:pPr>
        <w:autoSpaceDE w:val="0"/>
        <w:autoSpaceDN w:val="0"/>
        <w:adjustRightInd w:val="0"/>
        <w:spacing w:after="0"/>
        <w:ind w:left="720"/>
        <w:contextualSpacing/>
        <w:rPr>
          <w:color w:val="000000"/>
        </w:rPr>
      </w:pPr>
    </w:p>
    <w:p w:rsidR="00210127" w:rsidRPr="00210127" w:rsidRDefault="00210127" w:rsidP="00210127">
      <w:pPr>
        <w:numPr>
          <w:ilvl w:val="0"/>
          <w:numId w:val="8"/>
        </w:numPr>
        <w:autoSpaceDE w:val="0"/>
        <w:autoSpaceDN w:val="0"/>
        <w:adjustRightInd w:val="0"/>
        <w:spacing w:after="0" w:line="276" w:lineRule="auto"/>
        <w:contextualSpacing/>
      </w:pPr>
      <w:r w:rsidRPr="00210127">
        <w:rPr>
          <w:color w:val="000000"/>
        </w:rPr>
        <w:t xml:space="preserve">In the case of any fraud – contact the independent examiner and notify </w:t>
      </w:r>
      <w:r w:rsidRPr="00210127">
        <w:t>the Chair of the Board of Trustees.</w:t>
      </w:r>
    </w:p>
    <w:p w:rsidR="00210127" w:rsidRPr="00210127" w:rsidRDefault="00210127" w:rsidP="00210127">
      <w:pPr>
        <w:autoSpaceDE w:val="0"/>
        <w:autoSpaceDN w:val="0"/>
        <w:adjustRightInd w:val="0"/>
        <w:spacing w:after="0"/>
        <w:rPr>
          <w:color w:val="FF0000"/>
        </w:rPr>
      </w:pPr>
    </w:p>
    <w:p w:rsidR="00210127" w:rsidRPr="00210127" w:rsidRDefault="00210127" w:rsidP="00210127">
      <w:pPr>
        <w:numPr>
          <w:ilvl w:val="0"/>
          <w:numId w:val="10"/>
        </w:numPr>
        <w:autoSpaceDE w:val="0"/>
        <w:autoSpaceDN w:val="0"/>
        <w:adjustRightInd w:val="0"/>
        <w:spacing w:after="0" w:line="276" w:lineRule="auto"/>
        <w:contextualSpacing/>
        <w:rPr>
          <w:color w:val="000000"/>
        </w:rPr>
      </w:pPr>
      <w:r w:rsidRPr="00210127">
        <w:rPr>
          <w:color w:val="000000"/>
        </w:rPr>
        <w:t>To make a referral or for advice if concerned and unsure what to do  – contact Customer First 08456 066 167 or the Suffolk Multi Agency Safeguarding Hub  0345 6061499</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r w:rsidRPr="00210127">
        <w:rPr>
          <w:color w:val="000000"/>
        </w:rPr>
        <w:t>Matters should not be raised with the press or other media (to do so will result in a disciplinary action).</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b/>
          <w:bCs/>
          <w:color w:val="000000"/>
        </w:rPr>
      </w:pPr>
      <w:r w:rsidRPr="00210127">
        <w:rPr>
          <w:b/>
          <w:bCs/>
          <w:color w:val="000000"/>
        </w:rPr>
        <w:t>Dealing with Concerns</w:t>
      </w:r>
    </w:p>
    <w:p w:rsidR="00210127" w:rsidRPr="00210127" w:rsidRDefault="00210127" w:rsidP="00210127">
      <w:pPr>
        <w:autoSpaceDE w:val="0"/>
        <w:autoSpaceDN w:val="0"/>
        <w:adjustRightInd w:val="0"/>
        <w:spacing w:after="0"/>
        <w:rPr>
          <w:color w:val="000000"/>
        </w:rPr>
      </w:pPr>
      <w:r w:rsidRPr="00210127">
        <w:rPr>
          <w:color w:val="000000"/>
        </w:rPr>
        <w:t>All concerns will be investigated carefully and thoroughly.  Every effort will be made not to reveal the whistle-blower’s identity.</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r w:rsidRPr="00210127">
        <w:rPr>
          <w:color w:val="000000"/>
        </w:rPr>
        <w:t>If appropriate, results of investigations and any action that is proposed will be passed on to the person expressing the initial concern. However, confidentiality needs to be maintained at all times.</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r w:rsidRPr="00210127">
        <w:rPr>
          <w:color w:val="000000"/>
        </w:rPr>
        <w:t>If it is found that malicious, unfounded allegations have been made this will be dealt with under the disciplinary procedure.</w:t>
      </w:r>
    </w:p>
    <w:p w:rsidR="00210127" w:rsidRPr="00210127" w:rsidRDefault="00210127" w:rsidP="00210127">
      <w:pPr>
        <w:autoSpaceDE w:val="0"/>
        <w:autoSpaceDN w:val="0"/>
        <w:adjustRightInd w:val="0"/>
        <w:spacing w:after="0"/>
        <w:rPr>
          <w:color w:val="000000"/>
        </w:rPr>
      </w:pPr>
    </w:p>
    <w:p w:rsidR="00210127" w:rsidRPr="00210127" w:rsidRDefault="00210127" w:rsidP="00210127">
      <w:pPr>
        <w:autoSpaceDE w:val="0"/>
        <w:autoSpaceDN w:val="0"/>
        <w:adjustRightInd w:val="0"/>
        <w:spacing w:after="0"/>
        <w:rPr>
          <w:color w:val="000000"/>
        </w:rPr>
      </w:pPr>
    </w:p>
    <w:tbl>
      <w:tblPr>
        <w:tblStyle w:val="TableGrid1"/>
        <w:tblW w:w="0" w:type="auto"/>
        <w:tblLook w:val="04A0" w:firstRow="1" w:lastRow="0" w:firstColumn="1" w:lastColumn="0" w:noHBand="0" w:noVBand="1"/>
      </w:tblPr>
      <w:tblGrid>
        <w:gridCol w:w="3227"/>
        <w:gridCol w:w="6015"/>
      </w:tblGrid>
      <w:tr w:rsidR="00210127" w:rsidRPr="00210127" w:rsidTr="00E823F4">
        <w:tc>
          <w:tcPr>
            <w:tcW w:w="3227" w:type="dxa"/>
          </w:tcPr>
          <w:p w:rsidR="00210127" w:rsidRPr="00210127" w:rsidRDefault="00210127" w:rsidP="00210127">
            <w:pPr>
              <w:rPr>
                <w:rFonts w:ascii="Arial" w:hAnsi="Arial" w:cs="Arial"/>
                <w:sz w:val="24"/>
                <w:szCs w:val="24"/>
              </w:rPr>
            </w:pPr>
          </w:p>
          <w:p w:rsidR="00210127" w:rsidRPr="00210127" w:rsidRDefault="00210127" w:rsidP="00210127">
            <w:pPr>
              <w:rPr>
                <w:rFonts w:ascii="Arial" w:hAnsi="Arial" w:cs="Arial"/>
                <w:sz w:val="24"/>
                <w:szCs w:val="24"/>
              </w:rPr>
            </w:pPr>
            <w:r w:rsidRPr="00210127">
              <w:rPr>
                <w:rFonts w:ascii="Arial" w:hAnsi="Arial" w:cs="Arial"/>
                <w:sz w:val="24"/>
                <w:szCs w:val="24"/>
              </w:rPr>
              <w:t>Signed:</w:t>
            </w:r>
          </w:p>
          <w:p w:rsidR="00210127" w:rsidRPr="00210127" w:rsidRDefault="00210127" w:rsidP="00210127">
            <w:pPr>
              <w:rPr>
                <w:rFonts w:ascii="Arial" w:hAnsi="Arial" w:cs="Arial"/>
                <w:sz w:val="24"/>
                <w:szCs w:val="24"/>
              </w:rPr>
            </w:pPr>
          </w:p>
        </w:tc>
        <w:tc>
          <w:tcPr>
            <w:tcW w:w="6015" w:type="dxa"/>
          </w:tcPr>
          <w:p w:rsidR="00210127" w:rsidRPr="00210127" w:rsidRDefault="00210127" w:rsidP="00210127">
            <w:pPr>
              <w:rPr>
                <w:rFonts w:ascii="Arial" w:hAnsi="Arial" w:cs="Arial"/>
                <w:sz w:val="24"/>
                <w:szCs w:val="24"/>
              </w:rPr>
            </w:pPr>
          </w:p>
        </w:tc>
      </w:tr>
      <w:tr w:rsidR="00210127" w:rsidRPr="00210127" w:rsidTr="00E823F4">
        <w:tc>
          <w:tcPr>
            <w:tcW w:w="3227" w:type="dxa"/>
          </w:tcPr>
          <w:p w:rsidR="00210127" w:rsidRPr="00210127" w:rsidRDefault="00210127" w:rsidP="00210127">
            <w:pPr>
              <w:rPr>
                <w:rFonts w:ascii="Arial" w:hAnsi="Arial" w:cs="Arial"/>
                <w:sz w:val="24"/>
                <w:szCs w:val="24"/>
              </w:rPr>
            </w:pPr>
          </w:p>
          <w:p w:rsidR="00210127" w:rsidRPr="00210127" w:rsidRDefault="00210127" w:rsidP="00210127">
            <w:pPr>
              <w:rPr>
                <w:rFonts w:ascii="Arial" w:hAnsi="Arial" w:cs="Arial"/>
                <w:sz w:val="24"/>
                <w:szCs w:val="24"/>
              </w:rPr>
            </w:pPr>
            <w:r w:rsidRPr="00210127">
              <w:rPr>
                <w:rFonts w:ascii="Arial" w:hAnsi="Arial" w:cs="Arial"/>
                <w:sz w:val="24"/>
                <w:szCs w:val="24"/>
              </w:rPr>
              <w:t xml:space="preserve">Date: </w:t>
            </w:r>
          </w:p>
          <w:p w:rsidR="00210127" w:rsidRPr="00210127" w:rsidRDefault="00210127" w:rsidP="00210127">
            <w:pPr>
              <w:rPr>
                <w:rFonts w:ascii="Arial" w:hAnsi="Arial" w:cs="Arial"/>
                <w:sz w:val="24"/>
                <w:szCs w:val="24"/>
              </w:rPr>
            </w:pPr>
          </w:p>
        </w:tc>
        <w:tc>
          <w:tcPr>
            <w:tcW w:w="6015" w:type="dxa"/>
          </w:tcPr>
          <w:p w:rsidR="00210127" w:rsidRPr="00210127" w:rsidRDefault="00210127" w:rsidP="00210127">
            <w:pPr>
              <w:rPr>
                <w:rFonts w:ascii="Arial" w:hAnsi="Arial" w:cs="Arial"/>
                <w:sz w:val="24"/>
                <w:szCs w:val="24"/>
              </w:rPr>
            </w:pPr>
          </w:p>
        </w:tc>
      </w:tr>
      <w:tr w:rsidR="00210127" w:rsidRPr="00210127" w:rsidTr="00E823F4">
        <w:tc>
          <w:tcPr>
            <w:tcW w:w="3227" w:type="dxa"/>
          </w:tcPr>
          <w:p w:rsidR="00210127" w:rsidRPr="00210127" w:rsidRDefault="00210127" w:rsidP="00210127">
            <w:pPr>
              <w:rPr>
                <w:rFonts w:ascii="Arial" w:hAnsi="Arial" w:cs="Arial"/>
                <w:sz w:val="24"/>
                <w:szCs w:val="24"/>
              </w:rPr>
            </w:pPr>
          </w:p>
          <w:p w:rsidR="00210127" w:rsidRPr="00210127" w:rsidRDefault="00210127" w:rsidP="00210127">
            <w:pPr>
              <w:rPr>
                <w:rFonts w:ascii="Arial" w:hAnsi="Arial" w:cs="Arial"/>
                <w:i/>
              </w:rPr>
            </w:pPr>
            <w:r w:rsidRPr="00210127">
              <w:rPr>
                <w:rFonts w:ascii="Arial" w:hAnsi="Arial" w:cs="Arial"/>
                <w:sz w:val="24"/>
                <w:szCs w:val="24"/>
              </w:rPr>
              <w:t xml:space="preserve">Renewal date:  </w:t>
            </w:r>
            <w:r w:rsidRPr="00210127">
              <w:rPr>
                <w:rFonts w:ascii="Arial" w:hAnsi="Arial" w:cs="Arial"/>
                <w:i/>
              </w:rPr>
              <w:t xml:space="preserve">(in either 3 </w:t>
            </w:r>
            <w:proofErr w:type="spellStart"/>
            <w:r w:rsidRPr="00210127">
              <w:rPr>
                <w:rFonts w:ascii="Arial" w:hAnsi="Arial" w:cs="Arial"/>
                <w:i/>
              </w:rPr>
              <w:t>years time</w:t>
            </w:r>
            <w:proofErr w:type="spellEnd"/>
            <w:r w:rsidRPr="00210127">
              <w:rPr>
                <w:rFonts w:ascii="Arial" w:hAnsi="Arial" w:cs="Arial"/>
                <w:i/>
              </w:rPr>
              <w:t xml:space="preserve"> or earlier if issues arise or there are legislative changes)</w:t>
            </w:r>
          </w:p>
          <w:p w:rsidR="00210127" w:rsidRPr="00210127" w:rsidRDefault="00210127" w:rsidP="00210127">
            <w:pPr>
              <w:rPr>
                <w:rFonts w:ascii="Arial" w:hAnsi="Arial" w:cs="Arial"/>
                <w:sz w:val="24"/>
                <w:szCs w:val="24"/>
              </w:rPr>
            </w:pPr>
          </w:p>
        </w:tc>
        <w:tc>
          <w:tcPr>
            <w:tcW w:w="6015" w:type="dxa"/>
          </w:tcPr>
          <w:p w:rsidR="00210127" w:rsidRPr="00210127" w:rsidRDefault="00210127" w:rsidP="00210127">
            <w:pPr>
              <w:rPr>
                <w:rFonts w:ascii="Arial" w:hAnsi="Arial" w:cs="Arial"/>
                <w:sz w:val="24"/>
                <w:szCs w:val="24"/>
              </w:rPr>
            </w:pPr>
          </w:p>
        </w:tc>
      </w:tr>
      <w:tr w:rsidR="00210127" w:rsidRPr="00210127" w:rsidTr="00E823F4">
        <w:tc>
          <w:tcPr>
            <w:tcW w:w="3227" w:type="dxa"/>
          </w:tcPr>
          <w:p w:rsidR="00210127" w:rsidRPr="00210127" w:rsidRDefault="00210127" w:rsidP="00210127">
            <w:pPr>
              <w:rPr>
                <w:rFonts w:ascii="Arial" w:hAnsi="Arial" w:cs="Arial"/>
                <w:sz w:val="24"/>
                <w:szCs w:val="24"/>
              </w:rPr>
            </w:pPr>
            <w:r w:rsidRPr="00210127">
              <w:rPr>
                <w:rFonts w:ascii="Arial" w:hAnsi="Arial" w:cs="Arial"/>
                <w:sz w:val="24"/>
                <w:szCs w:val="24"/>
              </w:rPr>
              <w:t>Review/renewal dates:</w:t>
            </w:r>
          </w:p>
          <w:p w:rsidR="00210127" w:rsidRPr="00210127" w:rsidRDefault="00210127" w:rsidP="00210127">
            <w:pPr>
              <w:rPr>
                <w:rFonts w:ascii="Arial" w:hAnsi="Arial" w:cs="Arial"/>
                <w:sz w:val="24"/>
                <w:szCs w:val="24"/>
              </w:rPr>
            </w:pPr>
          </w:p>
          <w:p w:rsidR="00210127" w:rsidRPr="00210127" w:rsidRDefault="00210127" w:rsidP="00210127">
            <w:pPr>
              <w:rPr>
                <w:rFonts w:ascii="Arial" w:hAnsi="Arial" w:cs="Arial"/>
                <w:sz w:val="24"/>
                <w:szCs w:val="24"/>
              </w:rPr>
            </w:pPr>
          </w:p>
          <w:p w:rsidR="00210127" w:rsidRPr="00210127" w:rsidRDefault="00210127" w:rsidP="00210127">
            <w:pPr>
              <w:rPr>
                <w:rFonts w:ascii="Arial" w:hAnsi="Arial" w:cs="Arial"/>
                <w:sz w:val="24"/>
                <w:szCs w:val="24"/>
              </w:rPr>
            </w:pPr>
          </w:p>
          <w:p w:rsidR="00210127" w:rsidRPr="00210127" w:rsidRDefault="00210127" w:rsidP="00210127">
            <w:pPr>
              <w:rPr>
                <w:rFonts w:ascii="Arial" w:hAnsi="Arial" w:cs="Arial"/>
                <w:sz w:val="24"/>
                <w:szCs w:val="24"/>
              </w:rPr>
            </w:pPr>
          </w:p>
          <w:p w:rsidR="00210127" w:rsidRPr="00210127" w:rsidRDefault="00210127" w:rsidP="00210127">
            <w:pPr>
              <w:rPr>
                <w:rFonts w:ascii="Arial" w:hAnsi="Arial" w:cs="Arial"/>
                <w:sz w:val="24"/>
                <w:szCs w:val="24"/>
              </w:rPr>
            </w:pPr>
          </w:p>
        </w:tc>
        <w:tc>
          <w:tcPr>
            <w:tcW w:w="6015" w:type="dxa"/>
          </w:tcPr>
          <w:p w:rsidR="00210127" w:rsidRPr="00210127" w:rsidRDefault="00210127" w:rsidP="00210127">
            <w:pPr>
              <w:rPr>
                <w:rFonts w:ascii="Arial" w:hAnsi="Arial" w:cs="Arial"/>
                <w:sz w:val="24"/>
                <w:szCs w:val="24"/>
              </w:rPr>
            </w:pPr>
          </w:p>
        </w:tc>
      </w:tr>
    </w:tbl>
    <w:p w:rsidR="00210127" w:rsidRPr="00210127" w:rsidRDefault="00210127" w:rsidP="00210127">
      <w:pPr>
        <w:spacing w:line="276" w:lineRule="auto"/>
      </w:pPr>
    </w:p>
    <w:p w:rsidR="00210127" w:rsidRPr="00210127" w:rsidRDefault="00210127" w:rsidP="00210127">
      <w:pPr>
        <w:autoSpaceDE w:val="0"/>
        <w:autoSpaceDN w:val="0"/>
        <w:adjustRightInd w:val="0"/>
        <w:spacing w:after="0"/>
        <w:rPr>
          <w:color w:val="000000"/>
        </w:rPr>
      </w:pPr>
    </w:p>
    <w:p w:rsidR="00210127" w:rsidRDefault="00210127" w:rsidP="005D565A"/>
    <w:p w:rsidR="005D565A" w:rsidRPr="00194A5C" w:rsidRDefault="00A83826" w:rsidP="005D565A">
      <w:pPr>
        <w:rPr>
          <w:b/>
        </w:rPr>
      </w:pPr>
      <w:r w:rsidRPr="00194A5C">
        <w:rPr>
          <w:b/>
        </w:rPr>
        <w:t>Statement</w:t>
      </w:r>
      <w:r w:rsidR="005D565A" w:rsidRPr="00194A5C">
        <w:rPr>
          <w:b/>
        </w:rPr>
        <w:t xml:space="preserve"> of Policy</w:t>
      </w:r>
      <w:bookmarkStart w:id="0" w:name="_GoBack"/>
      <w:bookmarkEnd w:id="0"/>
    </w:p>
    <w:sectPr w:rsidR="005D565A" w:rsidRPr="00194A5C" w:rsidSect="0016451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41DF"/>
    <w:multiLevelType w:val="hybridMultilevel"/>
    <w:tmpl w:val="7E8C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42C24"/>
    <w:multiLevelType w:val="hybridMultilevel"/>
    <w:tmpl w:val="70B8BC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E04"/>
    <w:multiLevelType w:val="hybridMultilevel"/>
    <w:tmpl w:val="723E2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54B62"/>
    <w:multiLevelType w:val="hybridMultilevel"/>
    <w:tmpl w:val="662A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23936"/>
    <w:multiLevelType w:val="hybridMultilevel"/>
    <w:tmpl w:val="FE1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630D2"/>
    <w:multiLevelType w:val="hybridMultilevel"/>
    <w:tmpl w:val="36C48E9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574FDD"/>
    <w:multiLevelType w:val="hybridMultilevel"/>
    <w:tmpl w:val="91D0809C"/>
    <w:lvl w:ilvl="0" w:tplc="545CB0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B070F"/>
    <w:multiLevelType w:val="hybridMultilevel"/>
    <w:tmpl w:val="873A5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363CC0"/>
    <w:multiLevelType w:val="hybridMultilevel"/>
    <w:tmpl w:val="BF42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F40D4"/>
    <w:multiLevelType w:val="hybridMultilevel"/>
    <w:tmpl w:val="0FAA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3"/>
  </w:num>
  <w:num w:numId="6">
    <w:abstractNumId w:val="5"/>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F6"/>
    <w:rsid w:val="00042FAB"/>
    <w:rsid w:val="000E53C5"/>
    <w:rsid w:val="00164512"/>
    <w:rsid w:val="001811C6"/>
    <w:rsid w:val="00194A5C"/>
    <w:rsid w:val="00210127"/>
    <w:rsid w:val="00214D45"/>
    <w:rsid w:val="0022015E"/>
    <w:rsid w:val="00293C3C"/>
    <w:rsid w:val="00386E33"/>
    <w:rsid w:val="003C66F6"/>
    <w:rsid w:val="005D565A"/>
    <w:rsid w:val="006545C2"/>
    <w:rsid w:val="00775725"/>
    <w:rsid w:val="00775EF3"/>
    <w:rsid w:val="007F4198"/>
    <w:rsid w:val="00813E5C"/>
    <w:rsid w:val="009D1C90"/>
    <w:rsid w:val="00A83826"/>
    <w:rsid w:val="00B27BB6"/>
    <w:rsid w:val="00CB7AF1"/>
    <w:rsid w:val="00D16DE7"/>
    <w:rsid w:val="00E27C83"/>
    <w:rsid w:val="00E920A4"/>
    <w:rsid w:val="00EC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2DDCE-8FF7-4A63-A605-1C3EC456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6F6"/>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D56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5A"/>
    <w:rPr>
      <w:rFonts w:ascii="Tahoma" w:hAnsi="Tahoma" w:cs="Tahoma"/>
      <w:sz w:val="16"/>
      <w:szCs w:val="16"/>
    </w:rPr>
  </w:style>
  <w:style w:type="paragraph" w:styleId="ListParagraph">
    <w:name w:val="List Paragraph"/>
    <w:basedOn w:val="Normal"/>
    <w:uiPriority w:val="34"/>
    <w:qFormat/>
    <w:rsid w:val="00194A5C"/>
    <w:pPr>
      <w:ind w:left="720"/>
      <w:contextualSpacing/>
    </w:pPr>
  </w:style>
  <w:style w:type="character" w:styleId="Emphasis">
    <w:name w:val="Emphasis"/>
    <w:basedOn w:val="DefaultParagraphFont"/>
    <w:uiPriority w:val="20"/>
    <w:qFormat/>
    <w:rsid w:val="00E27C83"/>
    <w:rPr>
      <w:i/>
      <w:iCs/>
    </w:rPr>
  </w:style>
  <w:style w:type="character" w:customStyle="1" w:styleId="apple-converted-space">
    <w:name w:val="apple-converted-space"/>
    <w:basedOn w:val="DefaultParagraphFont"/>
    <w:rsid w:val="00E27C83"/>
  </w:style>
  <w:style w:type="table" w:styleId="TableGrid">
    <w:name w:val="Table Grid"/>
    <w:basedOn w:val="TableNormal"/>
    <w:uiPriority w:val="59"/>
    <w:rsid w:val="00EC17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0127"/>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059821">
      <w:bodyDiv w:val="1"/>
      <w:marLeft w:val="0"/>
      <w:marRight w:val="0"/>
      <w:marTop w:val="0"/>
      <w:marBottom w:val="0"/>
      <w:divBdr>
        <w:top w:val="none" w:sz="0" w:space="0" w:color="auto"/>
        <w:left w:val="none" w:sz="0" w:space="0" w:color="auto"/>
        <w:bottom w:val="none" w:sz="0" w:space="0" w:color="auto"/>
        <w:right w:val="none" w:sz="0" w:space="0" w:color="auto"/>
      </w:divBdr>
      <w:divsChild>
        <w:div w:id="666635819">
          <w:marLeft w:val="-2550"/>
          <w:marRight w:val="0"/>
          <w:marTop w:val="0"/>
          <w:marBottom w:val="0"/>
          <w:divBdr>
            <w:top w:val="none" w:sz="0" w:space="0" w:color="auto"/>
            <w:left w:val="none" w:sz="0" w:space="0" w:color="auto"/>
            <w:bottom w:val="none" w:sz="0" w:space="0" w:color="auto"/>
            <w:right w:val="none" w:sz="0" w:space="0" w:color="auto"/>
          </w:divBdr>
          <w:divsChild>
            <w:div w:id="1981224132">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492C-6CA4-4C9A-9602-BBFE3C93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wilkd1</dc:creator>
  <cp:lastModifiedBy>BTW Staff</cp:lastModifiedBy>
  <cp:revision>2</cp:revision>
  <dcterms:created xsi:type="dcterms:W3CDTF">2016-11-22T10:04:00Z</dcterms:created>
  <dcterms:modified xsi:type="dcterms:W3CDTF">2016-11-22T10:04:00Z</dcterms:modified>
</cp:coreProperties>
</file>